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jc w:val="left"/>
        <w:rPr>
          <w:b w:val="false"/>
          <w:bCs w:val="false"/>
        </w:rPr>
      </w:pPr>
      <w:bookmarkStart w:id="0" w:name="_x8fm1uorkbaw"/>
      <w:bookmarkEnd w:id="0"/>
      <w:r>
        <w:rPr>
          <w:b w:val="false"/>
          <w:bCs w:val="false"/>
        </w:rPr>
        <w:t>Oleksandra Khalimon</w:t>
      </w:r>
    </w:p>
    <w:p>
      <w:pPr>
        <w:pStyle w:val="Title"/>
        <w:jc w:val="left"/>
        <w:rPr>
          <w:b w:val="false"/>
          <w:bCs w:val="false"/>
          <w:sz w:val="24"/>
          <w:szCs w:val="24"/>
        </w:rPr>
      </w:pPr>
      <w:r>
        <w:rPr>
          <w:b w:val="false"/>
          <w:bCs w:val="false"/>
          <w:sz w:val="24"/>
          <w:szCs w:val="24"/>
        </w:rPr>
        <w:t>Business Analyst | Enterprise &amp; Digital Platforms</w:t>
      </w:r>
    </w:p>
    <w:p>
      <w:pPr>
        <w:pStyle w:val="Title"/>
        <w:rPr>
          <w:rFonts w:ascii="IBM Plex Sans Light" w:hAnsi="IBM Plex Sans Light"/>
          <w:sz w:val="20"/>
          <w:szCs w:val="20"/>
        </w:rPr>
      </w:pPr>
      <w:r>
        <w:rPr>
          <w:rFonts w:ascii="IBM Plex Sans Light" w:hAnsi="IBM Plex Sans Light"/>
          <w:sz w:val="20"/>
          <w:szCs w:val="20"/>
        </w:rPr>
        <w:t>Coimbra, Portugal  |  khalimon.alex@gmail.com  | +351928424573 |  linkedin.com/in/oleksandrakhalimon/</w:t>
      </w:r>
    </w:p>
    <w:p>
      <w:pPr>
        <w:pStyle w:val="SectionHeader"/>
        <w:rPr/>
      </w:pPr>
      <w:r>
        <w:rPr/>
        <w:t>Profile</w:t>
      </w:r>
    </w:p>
    <w:p>
      <w:pPr>
        <w:pStyle w:val="Body"/>
        <w:rPr/>
      </w:pPr>
      <w:r>
        <w:rPr/>
        <w:t xml:space="preserve">Business Analyst with 5+ years spanning executive-facing data products, government compliance platforms and regulated insurance. Comfortable owning a solution from ambiguous start to delivered end, moving between business and technical teams as the person who reconciles them and decides when a call has to be made. Backed by a computer-science foundation that makes the technical conversations real rather than translated, and a hands-on habit of staying close to the detail through to delivery. </w:t>
      </w:r>
    </w:p>
    <w:p>
      <w:pPr>
        <w:pStyle w:val="Body"/>
        <w:rPr/>
      </w:pPr>
      <w:r>
        <w:rPr/>
        <w:t>Holds a Master's degree in Computer Science. Experienced in Jira, Confluence and Agile delivery frameworks including Scrum and Kanban, holding a PSPO I certification from Scrum.org. Fluent in English (C1) and Portuguese (B2). Registered Accessibility Facilitator (ARTE), applying WCAG 2.2 and EAA compliance standards in requirements definition and solution validation.</w:t>
      </w:r>
    </w:p>
    <w:p>
      <w:pPr>
        <w:pStyle w:val="SectionHeader"/>
        <w:rPr/>
      </w:pPr>
      <w:r>
        <w:rPr/>
        <w:t>Professional Experience</w:t>
      </w:r>
    </w:p>
    <w:p>
      <w:pPr>
        <w:pStyle w:val="Subsectionheader"/>
        <w:spacing w:lineRule="auto" w:line="240" w:before="172" w:after="129"/>
        <w:rPr/>
      </w:pPr>
      <w:r>
        <w:rPr/>
        <w:t xml:space="preserve">NTT Data Portugal  - Lisbon, Portugal (Hybrid), </w:t>
      </w:r>
      <w:r>
        <w:rPr>
          <w:lang w:val="pt-PT"/>
        </w:rPr>
        <w:t>Aug 2022 - Present</w:t>
      </w:r>
    </w:p>
    <w:p>
      <w:pPr>
        <w:pStyle w:val="Normal"/>
        <w:rPr>
          <w:color w:val="333333"/>
        </w:rPr>
      </w:pPr>
      <w:r>
        <w:rPr>
          <w:rFonts w:ascii="IBM Plex Serif Medium" w:hAnsi="IBM Plex Serif Medium"/>
          <w:color w:val="333333"/>
          <w:sz w:val="18"/>
          <w:szCs w:val="18"/>
        </w:rPr>
        <w:t xml:space="preserve">Business Analyst, </w:t>
      </w:r>
      <w:r>
        <w:rPr>
          <w:rFonts w:ascii="IBM Plex Serif Medium" w:hAnsi="IBM Plex Serif Medium"/>
          <w:color w:val="333333"/>
          <w:sz w:val="18"/>
          <w:szCs w:val="18"/>
          <w:lang w:val="pt-PT"/>
        </w:rPr>
        <w:t>Mar</w:t>
      </w:r>
      <w:r>
        <w:rPr>
          <w:rFonts w:ascii="IBM Plex Serif Medium" w:hAnsi="IBM Plex Serif Medium"/>
          <w:color w:val="333333"/>
          <w:sz w:val="18"/>
          <w:szCs w:val="18"/>
        </w:rPr>
        <w:t xml:space="preserve"> 202</w:t>
      </w:r>
      <w:r>
        <w:rPr>
          <w:rFonts w:ascii="IBM Plex Serif Medium" w:hAnsi="IBM Plex Serif Medium"/>
          <w:color w:val="333333"/>
          <w:sz w:val="18"/>
          <w:szCs w:val="18"/>
          <w:lang w:val="pt-PT"/>
        </w:rPr>
        <w:t>6</w:t>
      </w:r>
      <w:r>
        <w:rPr>
          <w:rFonts w:ascii="IBM Plex Serif Medium" w:hAnsi="IBM Plex Serif Medium"/>
          <w:color w:val="333333"/>
          <w:sz w:val="18"/>
          <w:szCs w:val="18"/>
        </w:rPr>
        <w:t xml:space="preserve"> - Present</w:t>
      </w:r>
    </w:p>
    <w:p>
      <w:pPr>
        <w:pStyle w:val="Body"/>
        <w:rPr>
          <w:color w:val="333333"/>
        </w:rPr>
      </w:pPr>
      <w:r>
        <w:rPr>
          <w:color w:val="333333"/>
        </w:rPr>
        <w:t>Business analysis role across enterprise insurance, public sector and data platform projects. Defines requirements, maps processes using BPMN notation, manages backlog refinement, supports roadmap definition, advises on solutions and coordinates cross-functional delivery across multiple Agile teams.</w:t>
      </w:r>
    </w:p>
    <w:p>
      <w:pPr>
        <w:pStyle w:val="Body"/>
        <w:numPr>
          <w:ilvl w:val="0"/>
          <w:numId w:val="2"/>
        </w:numPr>
        <w:ind w:left="720" w:right="300" w:hanging="360"/>
        <w:rPr>
          <w:color w:val="333333"/>
        </w:rPr>
      </w:pPr>
      <w:r>
        <w:rPr>
          <w:color w:val="333333"/>
        </w:rPr>
        <w:t>Coordinated requirements engineering and delivery across multiple Agile (Scrum) teams on e-Avalia, a government compliance platform managing programmes and budgets. Refined high-level business needs into functional and non-functional specifications, and maintained full traceability between requirements and solution validation across multiple interdependent modules.</w:t>
      </w:r>
    </w:p>
    <w:p>
      <w:pPr>
        <w:pStyle w:val="Body"/>
        <w:numPr>
          <w:ilvl w:val="0"/>
          <w:numId w:val="2"/>
        </w:numPr>
        <w:ind w:left="720" w:right="300" w:hanging="360"/>
        <w:rPr>
          <w:color w:val="333333"/>
        </w:rPr>
      </w:pPr>
      <w:r>
        <w:rPr>
          <w:color w:val="333333"/>
        </w:rPr>
        <w:t>Independently identified and built AI agent workflows (n8n, Claude) to automate BA processes on a live government compliance project, designing pipelines to process legislative documents, cross-reference multiple sources and generate structured compliance reports.</w:t>
      </w:r>
    </w:p>
    <w:p>
      <w:pPr>
        <w:pStyle w:val="Body"/>
        <w:numPr>
          <w:ilvl w:val="0"/>
          <w:numId w:val="2"/>
        </w:numPr>
        <w:ind w:left="720" w:right="300" w:hanging="360"/>
        <w:rPr>
          <w:color w:val="333333"/>
        </w:rPr>
      </w:pPr>
      <w:r>
        <w:rPr>
          <w:color w:val="333333"/>
        </w:rPr>
        <w:t>Interpreted complex and partially documented regulatory and business rules from public-sector stakeholders, resolving ambiguity into structured requirements, and defined the analysis approach across multiple workstreams balancing delivery capacity, technical constraints and stakeholder needs.</w:t>
      </w:r>
    </w:p>
    <w:p>
      <w:pPr>
        <w:pStyle w:val="Normal"/>
        <w:rPr>
          <w:color w:val="333333"/>
        </w:rPr>
      </w:pPr>
      <w:r>
        <w:rPr>
          <w:rFonts w:ascii="IBM Plex Serif Medium" w:hAnsi="IBM Plex Serif Medium"/>
          <w:color w:val="333333"/>
          <w:sz w:val="18"/>
          <w:szCs w:val="18"/>
          <w:lang w:val="pt-PT"/>
        </w:rPr>
        <w:t>UX / Functional Analyst, Aug 2022 - Feb 2026</w:t>
      </w:r>
    </w:p>
    <w:p>
      <w:pPr>
        <w:pStyle w:val="Body"/>
        <w:rPr>
          <w:color w:val="333333"/>
        </w:rPr>
      </w:pPr>
      <w:r>
        <w:rPr>
          <w:color w:val="333333"/>
        </w:rPr>
        <w:t xml:space="preserve">Acted as a hybrid analytical/design </w:t>
      </w:r>
      <w:r>
        <w:rPr>
          <w:color w:val="333333"/>
        </w:rPr>
        <w:t>specialist</w:t>
      </w:r>
      <w:r>
        <w:rPr>
          <w:color w:val="333333"/>
        </w:rPr>
        <w:t xml:space="preserve"> across enterprise insurance and digital platform projects, translating ambiguous business and client needs into concrete visual proposals, becoming a go-to problem-solver for stakeholders needing fast concept validation or proof of concept.</w:t>
      </w:r>
    </w:p>
    <w:p>
      <w:pPr>
        <w:pStyle w:val="Body"/>
        <w:numPr>
          <w:ilvl w:val="0"/>
          <w:numId w:val="2"/>
        </w:numPr>
        <w:ind w:left="720" w:right="300" w:hanging="360"/>
        <w:rPr>
          <w:color w:val="333333"/>
        </w:rPr>
      </w:pPr>
      <w:r>
        <w:rPr>
          <w:color w:val="333333"/>
          <w:lang w:val="pt-PT"/>
        </w:rPr>
        <w:t>Distinguished hybrid profile, combining functional analysis with prototyping and visual communication, led to transfer onto e-Avalia, where this skillset was in direct demand, and subsequent promotion to full Business Analyst.</w:t>
      </w:r>
    </w:p>
    <w:p>
      <w:pPr>
        <w:pStyle w:val="Body"/>
        <w:numPr>
          <w:ilvl w:val="0"/>
          <w:numId w:val="2"/>
        </w:numPr>
        <w:ind w:left="720" w:right="300" w:hanging="360"/>
        <w:rPr>
          <w:color w:val="333333"/>
        </w:rPr>
      </w:pPr>
      <w:r>
        <w:rPr>
          <w:color w:val="333333"/>
          <w:lang w:val="pt-PT"/>
        </w:rPr>
        <w:t>Translated ambiguous client intent into wireframes, user flows and prototypes used to validate requirements with senior stakeholders, building rapid proof-of-concept proposals inside live projects.</w:t>
      </w:r>
    </w:p>
    <w:p>
      <w:pPr>
        <w:pStyle w:val="Body"/>
        <w:numPr>
          <w:ilvl w:val="0"/>
          <w:numId w:val="2"/>
        </w:numPr>
        <w:ind w:left="720" w:right="300" w:hanging="360"/>
        <w:rPr>
          <w:color w:val="333333"/>
        </w:rPr>
      </w:pPr>
      <w:r>
        <w:rPr>
          <w:color w:val="333333"/>
          <w:lang w:val="pt-PT"/>
        </w:rPr>
        <w:t>Conducted in-depth analysis of payment, profile management and policy lifecycle flows for Resolution Life (insurance) in a stakeholder-heavy environment with multiple senior decision-makers, producing diagrams and prototypes to support analytical findings and user stories, driving full digitalisation of customer-facing processes and raising customer satisfaction scores from 2/10 to 8/10.</w:t>
      </w:r>
    </w:p>
    <w:p>
      <w:pPr>
        <w:pStyle w:val="Subsectionheader"/>
        <w:rPr>
          <w:lang w:val="pt-PT"/>
        </w:rPr>
      </w:pPr>
      <w:r>
        <w:rPr>
          <w:lang w:val="pt-PT"/>
        </w:rPr>
        <w:t>Business Analysis Consultant (FinOps / Cloud Cost Governance) - eXalt Solutions</w:t>
      </w:r>
    </w:p>
    <w:p>
      <w:pPr>
        <w:pStyle w:val="Normal"/>
        <w:rPr>
          <w:rFonts w:ascii="IBM Plex Serif Medium" w:hAnsi="IBM Plex Serif Medium"/>
          <w:color w:val="666666"/>
          <w:sz w:val="18"/>
          <w:szCs w:val="18"/>
        </w:rPr>
      </w:pPr>
      <w:r>
        <w:rPr>
          <w:rFonts w:ascii="IBM Plex Serif Medium" w:hAnsi="IBM Plex Serif Medium"/>
          <w:color w:val="666666"/>
          <w:sz w:val="18"/>
          <w:szCs w:val="18"/>
        </w:rPr>
        <w:t>Boston, MA, USA (Remote), Jan 2022 – Oct 2023</w:t>
      </w:r>
    </w:p>
    <w:p>
      <w:pPr>
        <w:pStyle w:val="Body"/>
        <w:rPr/>
      </w:pPr>
      <w:r>
        <w:rPr/>
        <w:t>Owned the full data product lifecycle for an established data platform company, working directly with the CEO and senior enterprise clients to turn raw data into deployed advisory products.</w:t>
      </w:r>
    </w:p>
    <w:p>
      <w:pPr>
        <w:pStyle w:val="Body"/>
        <w:numPr>
          <w:ilvl w:val="0"/>
          <w:numId w:val="3"/>
        </w:numPr>
        <w:ind w:left="720" w:right="300" w:hanging="360"/>
        <w:rPr/>
      </w:pPr>
      <w:r>
        <w:rPr/>
        <w:t>Built pipelines to collect financial and market datasets via web scraping and cloud provider APIs (AWS, Google Cloud, Azure), structuring raw data into a database and designing the data models behind CPU pricing and Total Cost of Ownership (TCO) frameworks that supported complex client procurement decisions.</w:t>
      </w:r>
    </w:p>
    <w:p>
      <w:pPr>
        <w:pStyle w:val="Body"/>
        <w:numPr>
          <w:ilvl w:val="0"/>
          <w:numId w:val="3"/>
        </w:numPr>
        <w:ind w:left="720" w:right="300" w:hanging="360"/>
        <w:rPr/>
      </w:pPr>
      <w:r>
        <w:rPr/>
        <w:t>Configured and maintained a proprietary advisory platform, preparing structured data files, calculation logic and configurations, and independently deploying advisory pages accessible to enterprise clients.</w:t>
      </w:r>
    </w:p>
    <w:p>
      <w:pPr>
        <w:pStyle w:val="Body"/>
        <w:numPr>
          <w:ilvl w:val="0"/>
          <w:numId w:val="3"/>
        </w:numPr>
        <w:ind w:left="720" w:right="300" w:hanging="360"/>
        <w:rPr/>
      </w:pPr>
      <w:r>
        <w:rPr/>
        <w:t>Defined and applied data quality controls and validation across the advisory pipeline, verifying accuracy, completeness and integrity before each production deployment to ensure reliable, time-sensitive outputs.</w:t>
      </w:r>
    </w:p>
    <w:p>
      <w:pPr>
        <w:pStyle w:val="Body"/>
        <w:numPr>
          <w:ilvl w:val="0"/>
          <w:numId w:val="3"/>
        </w:numPr>
        <w:ind w:left="720" w:right="300" w:hanging="360"/>
        <w:rPr/>
      </w:pPr>
      <w:r>
        <w:rPr/>
        <w:t>Defined functional requirements, data models and data structures in direct collaboration with the CEO, maintaining traceability from requirements through to analytical outputs and executive decision-making.</w:t>
      </w:r>
    </w:p>
    <w:p>
      <w:pPr>
        <w:pStyle w:val="SectionHeader"/>
        <w:rPr/>
      </w:pPr>
      <w:r>
        <w:rPr>
          <w:lang w:val="pt-PT"/>
        </w:rPr>
        <w:t>Earlier</w:t>
      </w:r>
      <w:r>
        <w:rPr/>
        <w:t xml:space="preserve"> Experience</w:t>
      </w:r>
    </w:p>
    <w:p>
      <w:pPr>
        <w:pStyle w:val="Subsectionheader"/>
        <w:rPr/>
      </w:pPr>
      <w:r>
        <w:rPr/>
        <w:t>Product Analyst - Lantmännen Cerealia</w:t>
      </w:r>
    </w:p>
    <w:p>
      <w:pPr>
        <w:pStyle w:val="Normal"/>
        <w:rPr>
          <w:rFonts w:ascii="IBM Plex Serif Medium" w:hAnsi="IBM Plex Serif Medium"/>
          <w:color w:val="666666"/>
          <w:sz w:val="18"/>
          <w:szCs w:val="18"/>
        </w:rPr>
      </w:pPr>
      <w:r>
        <w:rPr>
          <w:rFonts w:ascii="IBM Plex Serif Medium" w:hAnsi="IBM Plex Serif Medium"/>
          <w:color w:val="666666"/>
          <w:sz w:val="18"/>
          <w:szCs w:val="18"/>
        </w:rPr>
        <w:t>Kyiv, Ukraine (Hybrid), Aug 2021 – Jan 2022</w:t>
      </w:r>
    </w:p>
    <w:p>
      <w:pPr>
        <w:pStyle w:val="Body"/>
        <w:ind w:left="0" w:right="300" w:hanging="0"/>
        <w:jc w:val="both"/>
        <w:rPr/>
      </w:pPr>
      <w:r>
        <w:rPr/>
        <w:t>Worked on product development and positioning using consumer data, analysing market and consumer inputs to support positioning and communication decisions, interpreting product and packaging test results to identify patterns and recommend improvements, and preparing structured reports and data visualisations to support stakeholder engagement and product strategy.</w:t>
      </w:r>
    </w:p>
    <w:p>
      <w:pPr>
        <w:pStyle w:val="Subsectionheader"/>
        <w:rPr/>
      </w:pPr>
      <w:r>
        <w:rPr/>
        <w:t>Embedded Systems Product Analyst - National Technical University of Ukraine 'KPI'</w:t>
      </w:r>
    </w:p>
    <w:p>
      <w:pPr>
        <w:pStyle w:val="Normal"/>
        <w:rPr>
          <w:rFonts w:ascii="IBM Plex Serif Medium" w:hAnsi="IBM Plex Serif Medium"/>
          <w:color w:val="666666"/>
          <w:sz w:val="18"/>
          <w:szCs w:val="18"/>
        </w:rPr>
      </w:pPr>
      <w:r>
        <w:rPr>
          <w:rFonts w:ascii="IBM Plex Serif Medium" w:hAnsi="IBM Plex Serif Medium"/>
          <w:color w:val="666666"/>
          <w:sz w:val="18"/>
          <w:szCs w:val="18"/>
        </w:rPr>
        <w:t>Kyiv, Ukraine (On-site), Feb 2019– Jan 2020</w:t>
      </w:r>
    </w:p>
    <w:p>
      <w:pPr>
        <w:pStyle w:val="Body"/>
        <w:widowControl w:val="false"/>
        <w:numPr>
          <w:ilvl w:val="0"/>
          <w:numId w:val="0"/>
        </w:numPr>
        <w:suppressAutoHyphens w:val="true"/>
        <w:overflowPunct w:val="false"/>
        <w:bidi w:val="0"/>
        <w:spacing w:lineRule="auto" w:line="276" w:before="0" w:after="72"/>
        <w:ind w:left="0" w:right="269" w:hanging="0"/>
        <w:jc w:val="both"/>
        <w:rPr/>
      </w:pPr>
      <w:r>
        <w:rPr/>
        <w:t>Supported product concept development in an embedded systems and robotics lab, gathering and analysing early-stage client needs and research findings and translating them into structured functional and physical requirements for robotics and embedded systems components. Collaborated with engineering teams to define component behaviour, electronics specifications and system interactions, ensuring technical feasibility, and documented requirements and iterative development decisions across the product lifecycle..</w:t>
      </w:r>
    </w:p>
    <w:p>
      <w:pPr>
        <w:pStyle w:val="SectionHeader"/>
        <w:rPr/>
      </w:pPr>
      <w:r>
        <w:rPr/>
        <w:t>Skills</w:t>
      </w:r>
    </w:p>
    <w:p>
      <w:pPr>
        <w:pStyle w:val="Body"/>
        <w:rPr/>
      </w:pPr>
      <w:r>
        <w:rPr>
          <w:rFonts w:ascii="IBM Plex Sans Medium" w:hAnsi="IBM Plex Sans Medium"/>
        </w:rPr>
        <w:t xml:space="preserve">Business Analysis </w:t>
      </w:r>
      <w:r>
        <w:rPr>
          <w:rFonts w:ascii="IBM Plex Sans Medium" w:hAnsi="IBM Plex Sans Medium"/>
          <w:lang w:val="pt-PT"/>
        </w:rPr>
        <w:t>Core</w:t>
      </w:r>
      <w:r>
        <w:rPr/>
        <w:t xml:space="preserve">: Requirements engineering &amp; analysis (functional &amp; non-functional) | Traceability | Process mapping (BPMN, UML) | Functional &amp; technical specifications | User stories &amp; acceptance criteria | Gap, impact &amp; change analysis | Solution validation | Backlog management &amp; refinement | Roadmap prioritisation | Stakeholder facilitation &amp; engagement | Offshore/onshore collaboration | Wireframing &amp; UI/usability analysis </w:t>
      </w:r>
    </w:p>
    <w:p>
      <w:pPr>
        <w:pStyle w:val="Body"/>
        <w:rPr/>
      </w:pPr>
      <w:r>
        <w:rPr>
          <w:rFonts w:ascii="IBM Plex Sans Medium" w:hAnsi="IBM Plex Sans Medium"/>
        </w:rPr>
        <w:t>Data &amp; Governance</w:t>
      </w:r>
      <w:r>
        <w:rPr/>
        <w:t>: Data analysis | SQL | Data transformation &amp; quality controls | Control frameworks | KPI &amp; reporting | Enterprise systems &amp; integration | Platform configuration | IT governance | Accessibility (WCAG 2.2, EAA, Registered Facilitator ARTE)</w:t>
      </w:r>
    </w:p>
    <w:p>
      <w:pPr>
        <w:pStyle w:val="Body"/>
        <w:rPr/>
      </w:pPr>
      <w:r>
        <w:rPr>
          <w:rFonts w:ascii="IBM Plex Sans Medium" w:hAnsi="IBM Plex Sans Medium"/>
        </w:rPr>
        <w:t xml:space="preserve">AI &amp; Automation: </w:t>
      </w:r>
      <w:r>
        <w:rPr/>
        <w:t>AI agent development | Agentic workflows | GenAI tools | Process automation</w:t>
      </w:r>
    </w:p>
    <w:p>
      <w:pPr>
        <w:pStyle w:val="Body"/>
        <w:rPr/>
      </w:pPr>
      <w:r>
        <w:rPr>
          <w:rFonts w:ascii="IBM Plex Sans Medium" w:hAnsi="IBM Plex Sans Medium"/>
        </w:rPr>
        <w:t>Tools</w:t>
      </w:r>
      <w:r>
        <w:rPr/>
        <w:t>: Jira | Confluence | Excel | Power BI | n8n | Claude | Figma | Miro | Git | Python | OutSystems</w:t>
      </w:r>
    </w:p>
    <w:p>
      <w:pPr>
        <w:pStyle w:val="Body"/>
        <w:rPr/>
      </w:pPr>
      <w:r>
        <w:rPr>
          <w:rFonts w:ascii="IBM Plex Sans Medium" w:hAnsi="IBM Plex Sans Medium"/>
        </w:rPr>
        <w:t>Domain Experience</w:t>
      </w:r>
      <w:r>
        <w:rPr/>
        <w:t>: Insurance | Financial data | Public sector | Data platforms | Embedded &amp; IoT</w:t>
      </w:r>
    </w:p>
    <w:p>
      <w:pPr>
        <w:pStyle w:val="Body"/>
        <w:rPr/>
      </w:pPr>
      <w:r>
        <w:rPr>
          <w:rFonts w:ascii="IBM Plex Sans Medium" w:hAnsi="IBM Plex Sans Medium"/>
        </w:rPr>
        <w:t>Methodologies</w:t>
      </w:r>
      <w:r>
        <w:rPr/>
        <w:t>: Agile frameworks (Scrum, Kanban) | SDLC | Hardware/software integration</w:t>
      </w:r>
    </w:p>
    <w:p>
      <w:pPr>
        <w:pStyle w:val="SectionHeader"/>
        <w:rPr/>
      </w:pPr>
      <w:r>
        <w:rPr/>
        <w:t>Education</w:t>
      </w:r>
    </w:p>
    <w:p>
      <w:pPr>
        <w:pStyle w:val="Body"/>
        <w:rPr/>
      </w:pPr>
      <w:r>
        <w:rPr>
          <w:rFonts w:ascii="IBM Plex Sans Medium" w:hAnsi="IBM Plex Sans Medium"/>
        </w:rPr>
        <w:t>Master’s Degree in Computer Science</w:t>
      </w:r>
      <w:r>
        <w:rPr/>
        <w:t xml:space="preserve"> (with distinction), Drahomanov National Pedagogical University, Ukraine - 2022.</w:t>
      </w:r>
    </w:p>
    <w:p>
      <w:pPr>
        <w:pStyle w:val="Body"/>
        <w:rPr/>
      </w:pPr>
      <w:r>
        <w:rPr>
          <w:rFonts w:ascii="IBM Plex Sans Medium" w:hAnsi="IBM Plex Sans Medium"/>
        </w:rPr>
        <w:t>Bachelor’s Degree in Software Engineering</w:t>
      </w:r>
      <w:r>
        <w:rPr/>
        <w:t>, National Technical University of Ukraine “Igor Sikorsky KPI”, Ukraine - 2020.</w:t>
      </w:r>
    </w:p>
    <w:p>
      <w:pPr>
        <w:pStyle w:val="SectionHeader"/>
        <w:rPr/>
      </w:pPr>
      <w:r>
        <w:rPr/>
        <w:t>Certifications</w:t>
      </w:r>
    </w:p>
    <w:p>
      <w:pPr>
        <w:pStyle w:val="Body"/>
        <w:jc w:val="left"/>
        <w:rPr/>
      </w:pPr>
      <w:r>
        <w:rPr/>
        <w:t>Professional Scrum Product Owner I (PSPO I) - Scrum.org, 2026 - https://www.scrum.org/certificates/1322683</w:t>
      </w:r>
    </w:p>
    <w:p>
      <w:pPr>
        <w:pStyle w:val="Body"/>
        <w:jc w:val="left"/>
        <w:rPr/>
      </w:pPr>
      <w:r>
        <w:rPr/>
        <w:t>Registered Accessibility Facilitator – Selo de Usabilidade e Acessibilidade (ARTE), Portugal - https://selo.usabilidade.gov.pt/facilitador/oleksandra-khalimon/</w:t>
      </w:r>
    </w:p>
    <w:p>
      <w:pPr>
        <w:pStyle w:val="Body"/>
        <w:rPr/>
      </w:pPr>
      <w:r>
        <w:rPr/>
        <w:t>Leading Teams: Developing as a Leader - University of Illinois Urbana-Champaign (Coursera)</w:t>
      </w:r>
    </w:p>
    <w:p>
      <w:pPr>
        <w:pStyle w:val="Body"/>
        <w:rPr/>
      </w:pPr>
      <w:r>
        <w:rPr/>
        <w:t>Conducting Usability Testing - Interaction Design Foundation</w:t>
      </w:r>
    </w:p>
    <w:p>
      <w:pPr>
        <w:pStyle w:val="SectionHeader"/>
        <w:rPr/>
      </w:pPr>
      <w:r>
        <w:rPr/>
        <w:t>Languages</w:t>
      </w:r>
    </w:p>
    <w:p>
      <w:pPr>
        <w:pStyle w:val="Body"/>
        <w:numPr>
          <w:ilvl w:val="0"/>
          <w:numId w:val="1"/>
        </w:numPr>
        <w:ind w:left="720" w:right="300" w:hanging="360"/>
        <w:rPr/>
      </w:pPr>
      <w:r>
        <w:rPr/>
        <w:t>English - C1 certified (C1 Advanced, June 2021, Grade B, Score 195).</w:t>
      </w:r>
    </w:p>
    <w:p>
      <w:pPr>
        <w:pStyle w:val="Body"/>
        <w:numPr>
          <w:ilvl w:val="0"/>
          <w:numId w:val="1"/>
        </w:numPr>
        <w:ind w:left="720" w:right="300" w:hanging="360"/>
        <w:rPr/>
      </w:pPr>
      <w:r>
        <w:rPr/>
        <w:t>Portuguese - B2</w:t>
      </w:r>
    </w:p>
    <w:p>
      <w:pPr>
        <w:pStyle w:val="Body"/>
        <w:numPr>
          <w:ilvl w:val="0"/>
          <w:numId w:val="1"/>
        </w:numPr>
        <w:ind w:left="720" w:right="300" w:hanging="360"/>
        <w:rPr/>
      </w:pPr>
      <w:r>
        <w:rPr/>
        <w:t>Ukrainian - Native.</w:t>
      </w:r>
    </w:p>
    <w:p>
      <w:pPr>
        <w:pStyle w:val="Body"/>
        <w:numPr>
          <w:ilvl w:val="0"/>
          <w:numId w:val="1"/>
        </w:numPr>
        <w:ind w:left="720" w:right="300" w:hanging="360"/>
        <w:rPr/>
      </w:pPr>
      <w:r>
        <w:rPr/>
        <w:t>French - A1.</w:t>
      </w:r>
    </w:p>
    <w:p>
      <w:pPr>
        <w:pStyle w:val="Body"/>
        <w:numPr>
          <w:ilvl w:val="0"/>
          <w:numId w:val="1"/>
        </w:numPr>
        <w:spacing w:before="0" w:after="72"/>
        <w:ind w:left="720" w:right="300" w:hanging="360"/>
        <w:rPr/>
      </w:pPr>
      <w:r>
        <w:rPr>
          <w:lang w:val="en-US"/>
        </w:rPr>
        <w:t>German</w:t>
      </w:r>
      <w:r>
        <w:rPr/>
        <w:t xml:space="preserve"> - A1.</w:t>
      </w:r>
    </w:p>
    <w:sectPr>
      <w:type w:val="nextPage"/>
      <w:pgSz w:w="11906" w:h="16838"/>
      <w:pgMar w:left="547" w:right="547" w:gutter="0" w:header="0" w:top="461" w:footer="0" w:bottom="461"/>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Montserrat">
    <w:charset w:val="00"/>
    <w:family w:val="swiss"/>
    <w:pitch w:val="variable"/>
  </w:font>
  <w:font w:name="Montserrat SemiBold">
    <w:charset w:val="00"/>
    <w:family w:val="swiss"/>
    <w:pitch w:val="variable"/>
  </w:font>
  <w:font w:name="Trebuchet MS">
    <w:charset w:val="00"/>
    <w:family w:val="swiss"/>
    <w:pitch w:val="variable"/>
  </w:font>
  <w:font w:name="OpenSymbol">
    <w:altName w:val="Arial Unicode MS"/>
    <w:charset w:val="00"/>
    <w:family w:val="roman"/>
    <w:pitch w:val="variable"/>
  </w:font>
  <w:font w:name="Liberation Sans">
    <w:altName w:val="Arial"/>
    <w:charset w:val="00"/>
    <w:family w:val="roman"/>
    <w:pitch w:val="variable"/>
  </w:font>
  <w:font w:name="IBM Plex Serif SemiBold">
    <w:charset w:val="00"/>
    <w:family w:val="roman"/>
    <w:pitch w:val="variable"/>
  </w:font>
  <w:font w:name="Montserrat Medium">
    <w:charset w:val="00"/>
    <w:family w:val="roman"/>
    <w:pitch w:val="variable"/>
  </w:font>
  <w:font w:name="Inter 28pt Light">
    <w:charset w:val="00"/>
    <w:family w:val="roman"/>
    <w:pitch w:val="variable"/>
  </w:font>
  <w:font w:name="IBM Plex Sans Light">
    <w:charset w:val="00"/>
    <w:family w:val="roman"/>
    <w:pitch w:val="variable"/>
  </w:font>
  <w:font w:name="IBM Plex Serif Medium">
    <w:charset w:val="00"/>
    <w:family w:val="roman"/>
    <w:pitch w:val="variable"/>
  </w:font>
  <w:font w:name="IBM Plex Sans Medium">
    <w:charset w:val="00"/>
    <w:family w:val="roman"/>
    <w:pitch w:val="variable"/>
  </w:font>
  <w:font w:name="Wingdings 2">
    <w:charset w:val="02"/>
    <w:family w:val="roman"/>
    <w:pitch w:val="variable"/>
  </w:font>
  <w:font w:name="OpenSymbol">
    <w:altName w:val="Arial Unicode MS"/>
    <w:charset w:val="01"/>
    <w:family w:val="auto"/>
    <w:pitch w:val="variable"/>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10"/>
  <w:defaultTabStop w:val="643"/>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Lucida Sans"/>
        <w:color w:val="434343"/>
        <w:sz w:val="22"/>
        <w:szCs w:val="22"/>
        <w:lang w:val="en-US" w:eastAsia="zh-CN" w:bidi="hi-IN"/>
      </w:rPr>
    </w:rPrDefault>
    <w:pPrDefault>
      <w:pPr>
        <w:suppressAutoHyphens w:val="true"/>
      </w:pPr>
    </w:pPrDefault>
  </w:docDefaults>
  <w:style w:type="paragraph" w:styleId="Normal">
    <w:name w:val="Normal"/>
    <w:qFormat/>
    <w:pPr>
      <w:widowControl w:val="false"/>
      <w:suppressAutoHyphens w:val="true"/>
      <w:overflowPunct w:val="false"/>
      <w:bidi w:val="0"/>
      <w:spacing w:lineRule="auto" w:line="276" w:before="0" w:after="80"/>
      <w:ind w:left="0" w:right="300" w:hanging="0"/>
      <w:jc w:val="both"/>
    </w:pPr>
    <w:rPr>
      <w:rFonts w:ascii="Times New Roman" w:hAnsi="Times New Roman" w:eastAsia="NSimSun" w:cs="Lucida Sans"/>
      <w:color w:val="434343"/>
      <w:kern w:val="0"/>
      <w:sz w:val="22"/>
      <w:szCs w:val="22"/>
      <w:lang w:val="en-US" w:eastAsia="zh-CN" w:bidi="hi-IN"/>
    </w:rPr>
  </w:style>
  <w:style w:type="paragraph" w:styleId="Heading1">
    <w:name w:val="Heading 1"/>
    <w:basedOn w:val="LO-normal"/>
    <w:next w:val="LO-normal"/>
    <w:qFormat/>
    <w:pPr>
      <w:spacing w:lineRule="auto" w:line="240" w:before="240" w:after="240"/>
    </w:pPr>
    <w:rPr>
      <w:rFonts w:ascii="Montserrat" w:hAnsi="Montserrat" w:eastAsia="Montserrat" w:cs="Montserrat"/>
      <w:b/>
      <w:color w:val="2079C7"/>
      <w:sz w:val="24"/>
      <w:szCs w:val="24"/>
    </w:rPr>
  </w:style>
  <w:style w:type="paragraph" w:styleId="Heading2">
    <w:name w:val="Heading 2"/>
    <w:basedOn w:val="LO-normal"/>
    <w:next w:val="LO-normal"/>
    <w:qFormat/>
    <w:pPr>
      <w:keepNext w:val="true"/>
      <w:keepLines/>
      <w:spacing w:lineRule="auto" w:line="240" w:before="200" w:after="0"/>
    </w:pPr>
    <w:rPr>
      <w:rFonts w:ascii="Montserrat SemiBold" w:hAnsi="Montserrat SemiBold" w:eastAsia="Montserrat SemiBold" w:cs="Montserrat SemiBold"/>
      <w:color w:val="000000"/>
    </w:rPr>
  </w:style>
  <w:style w:type="paragraph" w:styleId="Heading3">
    <w:name w:val="Heading 3"/>
    <w:basedOn w:val="LO-normal"/>
    <w:next w:val="LO-normal"/>
    <w:qFormat/>
    <w:pPr>
      <w:keepNext w:val="true"/>
      <w:keepLines/>
      <w:spacing w:lineRule="auto" w:line="240" w:before="120" w:after="120"/>
    </w:pPr>
    <w:rPr>
      <w:rFonts w:ascii="Montserrat SemiBold" w:hAnsi="Montserrat SemiBold" w:eastAsia="Montserrat SemiBold" w:cs="Montserrat SemiBold"/>
      <w:color w:val="666666"/>
      <w:sz w:val="20"/>
      <w:szCs w:val="20"/>
    </w:rPr>
  </w:style>
  <w:style w:type="paragraph" w:styleId="Heading4">
    <w:name w:val="Heading 4"/>
    <w:basedOn w:val="LO-normal"/>
    <w:next w:val="LO-normal"/>
    <w:qFormat/>
    <w:pPr>
      <w:keepNext w:val="true"/>
      <w:keepLines/>
      <w:pageBreakBefore w:val="false"/>
      <w:spacing w:lineRule="auto" w:line="240" w:before="160" w:after="0"/>
    </w:pPr>
    <w:rPr>
      <w:rFonts w:ascii="Trebuchet MS" w:hAnsi="Trebuchet MS" w:eastAsia="Trebuchet MS" w:cs="Trebuchet MS"/>
      <w:color w:val="666666"/>
      <w:sz w:val="22"/>
      <w:szCs w:val="22"/>
      <w:u w:val="single"/>
    </w:rPr>
  </w:style>
  <w:style w:type="paragraph" w:styleId="Heading5">
    <w:name w:val="Heading 5"/>
    <w:basedOn w:val="LO-normal"/>
    <w:next w:val="LO-normal"/>
    <w:qFormat/>
    <w:pPr>
      <w:keepNext w:val="true"/>
      <w:keepLines/>
      <w:pageBreakBefore w:val="false"/>
      <w:spacing w:lineRule="auto" w:line="240" w:before="160" w:after="0"/>
    </w:pPr>
    <w:rPr>
      <w:rFonts w:ascii="Trebuchet MS" w:hAnsi="Trebuchet MS" w:eastAsia="Trebuchet MS" w:cs="Trebuchet MS"/>
      <w:color w:val="666666"/>
      <w:sz w:val="22"/>
      <w:szCs w:val="22"/>
    </w:rPr>
  </w:style>
  <w:style w:type="paragraph" w:styleId="Heading6">
    <w:name w:val="Heading 6"/>
    <w:basedOn w:val="LO-normal"/>
    <w:next w:val="LO-normal"/>
    <w:qFormat/>
    <w:pPr>
      <w:keepNext w:val="true"/>
      <w:keepLines/>
      <w:pageBreakBefore w:val="false"/>
      <w:spacing w:lineRule="auto" w:line="240" w:before="160" w:after="0"/>
    </w:pPr>
    <w:rPr>
      <w:rFonts w:ascii="Trebuchet MS" w:hAnsi="Trebuchet MS" w:eastAsia="Trebuchet MS" w:cs="Trebuchet MS"/>
      <w:i/>
      <w:color w:val="666666"/>
      <w:sz w:val="22"/>
      <w:szCs w:val="22"/>
    </w:rPr>
  </w:style>
  <w:style w:type="character" w:styleId="InternetLink">
    <w:name w:val="Hyperlink"/>
    <w:rPr>
      <w:color w:val="000080"/>
      <w:u w:val="single"/>
    </w:rPr>
  </w:style>
  <w:style w:type="character" w:styleId="Bullets">
    <w:name w:val="Bullets"/>
    <w:qFormat/>
    <w:rPr>
      <w:rFonts w:ascii="OpenSymbol" w:hAnsi="OpenSymbol" w:eastAsia="OpenSymbol" w:cs="OpenSymbol"/>
    </w:rPr>
  </w:style>
  <w:style w:type="character" w:styleId="Strong">
    <w:name w:val="Strong"/>
    <w:qFormat/>
    <w:rPr>
      <w:b/>
      <w:bCs/>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O-normal">
    <w:name w:val="LO-normal"/>
    <w:qFormat/>
    <w:pPr>
      <w:widowControl w:val="false"/>
      <w:suppressAutoHyphens w:val="true"/>
      <w:overflowPunct w:val="false"/>
      <w:bidi w:val="0"/>
      <w:spacing w:lineRule="auto" w:line="276" w:before="0" w:after="80"/>
      <w:ind w:left="0" w:right="300" w:hanging="0"/>
      <w:jc w:val="both"/>
    </w:pPr>
    <w:rPr>
      <w:rFonts w:ascii="Times New Roman" w:hAnsi="Times New Roman" w:eastAsia="NSimSun" w:cs="Lucida Sans"/>
      <w:color w:val="434343"/>
      <w:kern w:val="0"/>
      <w:sz w:val="22"/>
      <w:szCs w:val="22"/>
      <w:lang w:val="en-US" w:eastAsia="zh-CN" w:bidi="hi-IN"/>
    </w:rPr>
  </w:style>
  <w:style w:type="paragraph" w:styleId="Title">
    <w:name w:val="Title"/>
    <w:basedOn w:val="LO-normal"/>
    <w:next w:val="LO-normal"/>
    <w:qFormat/>
    <w:pPr>
      <w:spacing w:lineRule="auto" w:line="240" w:before="0" w:after="120"/>
    </w:pPr>
    <w:rPr>
      <w:rFonts w:ascii="IBM Plex Serif SemiBold" w:hAnsi="IBM Plex Serif SemiBold" w:eastAsia="Montserrat ExtraBold" w:cs="Montserrat ExtraBold"/>
      <w:b w:val="false"/>
      <w:bCs w:val="false"/>
      <w:color w:val="000000"/>
      <w:sz w:val="28"/>
      <w:szCs w:val="32"/>
    </w:rPr>
  </w:style>
  <w:style w:type="paragraph" w:styleId="Subtitle">
    <w:name w:val="Subtitle"/>
    <w:basedOn w:val="LO-normal"/>
    <w:next w:val="LO-normal"/>
    <w:qFormat/>
    <w:pPr>
      <w:spacing w:lineRule="auto" w:line="240" w:before="0" w:after="0"/>
      <w:jc w:val="left"/>
    </w:pPr>
    <w:rPr>
      <w:rFonts w:ascii="Montserrat Medium" w:hAnsi="Montserrat Medium" w:eastAsia="Montserrat Medium" w:cs="Montserrat Medium"/>
      <w:color w:val="000000"/>
    </w:rPr>
  </w:style>
  <w:style w:type="paragraph" w:styleId="HeaderandFooter">
    <w:name w:val="Header and Footer"/>
    <w:basedOn w:val="Normal"/>
    <w:qFormat/>
    <w:pPr/>
    <w:rPr/>
  </w:style>
  <w:style w:type="paragraph" w:styleId="Header">
    <w:name w:val="Header"/>
    <w:basedOn w:val="HeaderandFooter"/>
    <w:pPr/>
    <w:rPr/>
  </w:style>
  <w:style w:type="paragraph" w:styleId="SectionHeader">
    <w:name w:val="Section Header"/>
    <w:basedOn w:val="LO-normal"/>
    <w:qFormat/>
    <w:pPr>
      <w:spacing w:lineRule="auto" w:line="276" w:before="216" w:after="72"/>
      <w:ind w:left="0" w:right="144" w:hanging="0"/>
    </w:pPr>
    <w:rPr>
      <w:rFonts w:ascii="IBM Plex Serif SemiBold" w:hAnsi="IBM Plex Serif SemiBold"/>
      <w:b w:val="false"/>
      <w:bCs w:val="false"/>
      <w:sz w:val="24"/>
      <w:szCs w:val="24"/>
    </w:rPr>
  </w:style>
  <w:style w:type="paragraph" w:styleId="Subsectionheader">
    <w:name w:val="Subsection header"/>
    <w:basedOn w:val="LO-normal"/>
    <w:qFormat/>
    <w:pPr>
      <w:spacing w:before="115" w:after="72"/>
    </w:pPr>
    <w:rPr>
      <w:rFonts w:ascii="IBM Plex Serif SemiBold" w:hAnsi="IBM Plex Serif SemiBold"/>
      <w:b w:val="false"/>
      <w:sz w:val="19"/>
      <w:szCs w:val="20"/>
    </w:rPr>
  </w:style>
  <w:style w:type="paragraph" w:styleId="Body">
    <w:name w:val="Body"/>
    <w:basedOn w:val="LO-normal"/>
    <w:qFormat/>
    <w:pPr>
      <w:spacing w:lineRule="auto" w:line="276" w:before="0" w:after="72"/>
    </w:pPr>
    <w:rPr>
      <w:rFonts w:ascii="Inter 28pt Light" w:hAnsi="Inter 28pt Light"/>
      <w:b w:val="false"/>
      <w:i w:val="false"/>
      <w:sz w:val="18"/>
      <w:szCs w:val="20"/>
    </w:rPr>
  </w:style>
  <w:style w:type="paragraph" w:styleId="Addressee">
    <w:name w:val="Envelope Address"/>
    <w:basedOn w:val="Normal"/>
    <w:pPr>
      <w:suppressLineNumbers/>
      <w:spacing w:before="0" w:after="6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797</TotalTime>
  <Application>LibreOffice/7.5.9.2$Windows_X86_64 LibreOffice_project/cdeefe45c17511d326101eed8008ac4092f278a9</Application>
  <AppVersion>15.0000</AppVersion>
  <Pages>2</Pages>
  <Words>1039</Words>
  <Characters>6795</Characters>
  <CharactersWithSpaces>7776</CharactersWithSpaces>
  <Paragraphs>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2026-07-05T21:48:48Z</dcterms:modified>
  <cp:revision>580</cp:revision>
  <dc:subject/>
  <dc:title/>
</cp:coreProperties>
</file>

<file path=docProps/custom.xml><?xml version="1.0" encoding="utf-8"?>
<Properties xmlns="http://schemas.openxmlformats.org/officeDocument/2006/custom-properties" xmlns:vt="http://schemas.openxmlformats.org/officeDocument/2006/docPropsVTypes"/>
</file>